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1CA7" w14:textId="77777777" w:rsidR="00C24B34" w:rsidRDefault="00C24B34">
      <w:pPr>
        <w:pStyle w:val="Titre"/>
        <w:spacing w:after="120"/>
        <w:jc w:val="center"/>
      </w:pPr>
      <w:r>
        <w:rPr>
          <w:lang w:eastAsia="fr-FR"/>
        </w:rPr>
        <w:drawing>
          <wp:anchor distT="0" distB="0" distL="114300" distR="114300" simplePos="0" relativeHeight="251659776" behindDoc="0" locked="0" layoutInCell="1" allowOverlap="1" wp14:anchorId="7B960222" wp14:editId="6269D81C">
            <wp:simplePos x="0" y="0"/>
            <wp:positionH relativeFrom="column">
              <wp:posOffset>2937510</wp:posOffset>
            </wp:positionH>
            <wp:positionV relativeFrom="paragraph">
              <wp:posOffset>-426719</wp:posOffset>
            </wp:positionV>
            <wp:extent cx="1152525" cy="1047750"/>
            <wp:effectExtent l="0" t="0" r="0" b="0"/>
            <wp:wrapNone/>
            <wp:docPr id="21210602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60250" name="Image 2121060250"/>
                    <pic:cNvPicPr/>
                  </pic:nvPicPr>
                  <pic:blipFill rotWithShape="1">
                    <a:blip r:embed="rId8"/>
                    <a:srcRect l="11039" t="13635" r="10390" b="14936"/>
                    <a:stretch>
                      <a:fillRect/>
                    </a:stretch>
                  </pic:blipFill>
                  <pic:spPr bwMode="auto">
                    <a:xfrm>
                      <a:off x="0" y="0"/>
                      <a:ext cx="115252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990DEE" w14:textId="77777777" w:rsidR="00C24B34" w:rsidRDefault="00C24B34">
      <w:pPr>
        <w:pStyle w:val="Titre"/>
        <w:spacing w:after="120"/>
        <w:jc w:val="center"/>
      </w:pPr>
    </w:p>
    <w:p w14:paraId="78B84670" w14:textId="77777777" w:rsidR="00DE71FE" w:rsidRPr="001B34E4" w:rsidRDefault="00F54B0D">
      <w:pPr>
        <w:pStyle w:val="Titre"/>
        <w:spacing w:after="120"/>
        <w:jc w:val="center"/>
        <w:rPr>
          <w:sz w:val="56"/>
          <w:szCs w:val="56"/>
        </w:rPr>
      </w:pPr>
      <w:r w:rsidRPr="001B34E4">
        <w:rPr>
          <w:sz w:val="56"/>
          <w:szCs w:val="56"/>
          <w:lang w:eastAsia="fr-FR"/>
        </w:rPr>
        <w:t>Combien coûte une introduction</w:t>
      </w:r>
      <w:r w:rsidRPr="001B34E4">
        <w:rPr>
          <w:sz w:val="56"/>
          <w:szCs w:val="56"/>
          <w:lang w:eastAsia="fr-FR"/>
        </w:rPr>
        <w:br/>
        <w:t>sur Euronext Access ?</w:t>
      </w:r>
    </w:p>
    <w:p w14:paraId="507334DE" w14:textId="77777777" w:rsidR="00DE71FE" w:rsidRDefault="00F54B0D">
      <w:pPr>
        <w:spacing w:after="240"/>
        <w:jc w:val="center"/>
      </w:pPr>
      <w:r>
        <w:rPr>
          <w:i/>
          <w:color w:val="505A64"/>
          <w:sz w:val="23"/>
          <w:lang w:eastAsia="fr-FR"/>
        </w:rPr>
        <w:t>Simulation indicative 2026 pour une PME valorisée 3 millions d’euros</w:t>
      </w:r>
    </w:p>
    <w:tbl>
      <w:tblPr>
        <w:tblW w:w="5000" w:type="pct"/>
        <w:jc w:val="center"/>
        <w:tblLayout w:type="fixed"/>
        <w:tblCellMar>
          <w:top w:w="90" w:type="dxa"/>
          <w:left w:w="100" w:type="dxa"/>
          <w:bottom w:w="90" w:type="dxa"/>
          <w:right w:w="100" w:type="dxa"/>
        </w:tblCellMar>
        <w:tblLook w:val="04A0" w:firstRow="1" w:lastRow="0" w:firstColumn="1" w:lastColumn="0" w:noHBand="0" w:noVBand="1"/>
      </w:tblPr>
      <w:tblGrid>
        <w:gridCol w:w="10151"/>
      </w:tblGrid>
      <w:tr w:rsidR="00DE71FE" w14:paraId="002EF8BC" w14:textId="77777777">
        <w:trPr>
          <w:jc w:val="center"/>
        </w:trPr>
        <w:tc>
          <w:tcPr>
            <w:tcW w:w="9951" w:type="dxa"/>
            <w:shd w:val="clear" w:color="auto" w:fill="EEF5F7"/>
            <w:tcMar>
              <w:top w:w="160" w:type="dxa"/>
              <w:left w:w="180" w:type="dxa"/>
              <w:bottom w:w="150" w:type="dxa"/>
              <w:right w:w="180" w:type="dxa"/>
            </w:tcMar>
            <w:vAlign w:val="center"/>
          </w:tcPr>
          <w:p w14:paraId="6EBFFDFD" w14:textId="77777777" w:rsidR="00DE71FE" w:rsidRDefault="00F54B0D">
            <w:pPr>
              <w:spacing w:after="80"/>
            </w:pPr>
            <w:r>
              <w:rPr>
                <w:b/>
                <w:color w:val="19497D"/>
                <w:sz w:val="18"/>
                <w:lang w:eastAsia="fr-FR"/>
              </w:rPr>
              <w:t>24 500 € HT - budget indicatif de préparation et de première admission</w:t>
            </w:r>
          </w:p>
          <w:p w14:paraId="567FCED7" w14:textId="77777777" w:rsidR="00DE71FE" w:rsidRDefault="00F54B0D">
            <w:pPr>
              <w:spacing w:after="0" w:line="259" w:lineRule="auto"/>
            </w:pPr>
            <w:r>
              <w:rPr>
                <w:sz w:val="19"/>
                <w:lang w:eastAsia="fr-FR"/>
              </w:rPr>
              <w:t>Cette simulation additionne les frais Euronext de première admission, l’intervention du membre de marché et les prestations CiiB nécessaires à la conduite de l’opération et à l’élaboration du document d’information.</w:t>
            </w:r>
          </w:p>
        </w:tc>
      </w:tr>
    </w:tbl>
    <w:p w14:paraId="2508E39E" w14:textId="77777777" w:rsidR="00DE71FE" w:rsidRPr="001B34E4" w:rsidRDefault="00F54B0D">
      <w:pPr>
        <w:pStyle w:val="Titre1"/>
        <w:rPr>
          <w:sz w:val="40"/>
          <w:szCs w:val="40"/>
        </w:rPr>
      </w:pPr>
      <w:r w:rsidRPr="001B34E4">
        <w:rPr>
          <w:sz w:val="40"/>
          <w:szCs w:val="40"/>
          <w:lang w:eastAsia="fr-FR"/>
        </w:rPr>
        <w:t>Budget indicatif de l’introduction</w:t>
      </w:r>
    </w:p>
    <w:tbl>
      <w:tblPr>
        <w:tblW w:w="5000" w:type="pct"/>
        <w:jc w:val="center"/>
        <w:tblLayout w:type="fixed"/>
        <w:tblCellMar>
          <w:top w:w="90" w:type="dxa"/>
          <w:left w:w="100" w:type="dxa"/>
          <w:bottom w:w="90" w:type="dxa"/>
          <w:right w:w="100" w:type="dxa"/>
        </w:tblCellMar>
        <w:tblLook w:val="04A0" w:firstRow="1" w:lastRow="0" w:firstColumn="1" w:lastColumn="0" w:noHBand="0" w:noVBand="1"/>
      </w:tblPr>
      <w:tblGrid>
        <w:gridCol w:w="1701"/>
        <w:gridCol w:w="6692"/>
        <w:gridCol w:w="1758"/>
      </w:tblGrid>
      <w:tr w:rsidR="00DE71FE" w14:paraId="21E45E19" w14:textId="77777777" w:rsidTr="00AE7F0D">
        <w:trPr>
          <w:jc w:val="center"/>
        </w:trPr>
        <w:tc>
          <w:tcPr>
            <w:tcW w:w="1701" w:type="dxa"/>
            <w:shd w:val="clear" w:color="auto" w:fill="19497D"/>
            <w:tcMar>
              <w:top w:w="100" w:type="dxa"/>
              <w:left w:w="120" w:type="dxa"/>
              <w:bottom w:w="100" w:type="dxa"/>
              <w:right w:w="120" w:type="dxa"/>
            </w:tcMar>
            <w:vAlign w:val="center"/>
          </w:tcPr>
          <w:p w14:paraId="6110FB64" w14:textId="77777777" w:rsidR="00DE71FE" w:rsidRDefault="00F54B0D">
            <w:pPr>
              <w:jc w:val="center"/>
            </w:pPr>
            <w:r>
              <w:rPr>
                <w:b/>
                <w:color w:val="FFFFFF"/>
                <w:sz w:val="18"/>
                <w:lang w:eastAsia="fr-FR"/>
              </w:rPr>
              <w:t>Intervenant</w:t>
            </w:r>
          </w:p>
        </w:tc>
        <w:tc>
          <w:tcPr>
            <w:tcW w:w="6692" w:type="dxa"/>
            <w:shd w:val="clear" w:color="auto" w:fill="19497D"/>
            <w:tcMar>
              <w:top w:w="100" w:type="dxa"/>
              <w:left w:w="120" w:type="dxa"/>
              <w:bottom w:w="100" w:type="dxa"/>
              <w:right w:w="120" w:type="dxa"/>
            </w:tcMar>
            <w:vAlign w:val="center"/>
          </w:tcPr>
          <w:p w14:paraId="63890F21" w14:textId="77777777" w:rsidR="00DE71FE" w:rsidRDefault="00F54B0D">
            <w:pPr>
              <w:jc w:val="center"/>
            </w:pPr>
            <w:r>
              <w:rPr>
                <w:b/>
                <w:color w:val="FFFFFF"/>
                <w:sz w:val="18"/>
                <w:lang w:eastAsia="fr-FR"/>
              </w:rPr>
              <w:t>Prestation</w:t>
            </w:r>
          </w:p>
        </w:tc>
        <w:tc>
          <w:tcPr>
            <w:tcW w:w="1758" w:type="dxa"/>
            <w:shd w:val="clear" w:color="auto" w:fill="19497D"/>
            <w:tcMar>
              <w:top w:w="100" w:type="dxa"/>
              <w:left w:w="120" w:type="dxa"/>
              <w:bottom w:w="100" w:type="dxa"/>
              <w:right w:w="120" w:type="dxa"/>
            </w:tcMar>
            <w:vAlign w:val="center"/>
          </w:tcPr>
          <w:p w14:paraId="1C166318" w14:textId="77777777" w:rsidR="00DE71FE" w:rsidRDefault="00F54B0D">
            <w:pPr>
              <w:jc w:val="center"/>
            </w:pPr>
            <w:r>
              <w:rPr>
                <w:b/>
                <w:color w:val="FFFFFF"/>
                <w:sz w:val="18"/>
                <w:lang w:eastAsia="fr-FR"/>
              </w:rPr>
              <w:t>Budget HT</w:t>
            </w:r>
          </w:p>
        </w:tc>
      </w:tr>
      <w:tr w:rsidR="00DE71FE" w14:paraId="1D864DFD" w14:textId="77777777" w:rsidTr="00AE7F0D">
        <w:trPr>
          <w:jc w:val="center"/>
        </w:trPr>
        <w:tc>
          <w:tcPr>
            <w:tcW w:w="1701" w:type="dxa"/>
            <w:shd w:val="clear" w:color="auto" w:fill="FFFFFF"/>
            <w:tcMar>
              <w:top w:w="100" w:type="dxa"/>
              <w:left w:w="120" w:type="dxa"/>
              <w:bottom w:w="100" w:type="dxa"/>
              <w:right w:w="120" w:type="dxa"/>
            </w:tcMar>
            <w:vAlign w:val="center"/>
          </w:tcPr>
          <w:p w14:paraId="50FA9868" w14:textId="77777777" w:rsidR="00DE71FE" w:rsidRPr="00AE7F0D" w:rsidRDefault="00F54B0D">
            <w:pPr>
              <w:rPr>
                <w:b/>
                <w:bCs/>
              </w:rPr>
            </w:pPr>
            <w:r w:rsidRPr="00AE7F0D">
              <w:rPr>
                <w:b/>
                <w:bCs/>
                <w:sz w:val="18"/>
                <w:lang w:eastAsia="fr-FR"/>
              </w:rPr>
              <w:t>Euronext</w:t>
            </w:r>
          </w:p>
        </w:tc>
        <w:tc>
          <w:tcPr>
            <w:tcW w:w="6692" w:type="dxa"/>
            <w:shd w:val="clear" w:color="auto" w:fill="FFFFFF"/>
            <w:tcMar>
              <w:top w:w="100" w:type="dxa"/>
              <w:left w:w="120" w:type="dxa"/>
              <w:bottom w:w="100" w:type="dxa"/>
              <w:right w:w="120" w:type="dxa"/>
            </w:tcMar>
            <w:vAlign w:val="center"/>
          </w:tcPr>
          <w:p w14:paraId="38B5B7E1" w14:textId="77777777" w:rsidR="00DE71FE" w:rsidRDefault="00F54B0D">
            <w:r>
              <w:rPr>
                <w:sz w:val="18"/>
                <w:lang w:eastAsia="fr-FR"/>
              </w:rPr>
              <w:t>Frais de première admission sur Euronext Access</w:t>
            </w:r>
          </w:p>
        </w:tc>
        <w:tc>
          <w:tcPr>
            <w:tcW w:w="1758" w:type="dxa"/>
            <w:shd w:val="clear" w:color="auto" w:fill="FFFFFF"/>
            <w:tcMar>
              <w:top w:w="100" w:type="dxa"/>
              <w:left w:w="120" w:type="dxa"/>
              <w:bottom w:w="100" w:type="dxa"/>
              <w:right w:w="120" w:type="dxa"/>
            </w:tcMar>
            <w:vAlign w:val="center"/>
          </w:tcPr>
          <w:p w14:paraId="2E5C145F" w14:textId="77777777" w:rsidR="00DE71FE" w:rsidRDefault="00F54B0D">
            <w:pPr>
              <w:jc w:val="right"/>
            </w:pPr>
            <w:r>
              <w:rPr>
                <w:b/>
                <w:color w:val="19497D"/>
                <w:sz w:val="19"/>
                <w:lang w:eastAsia="fr-FR"/>
              </w:rPr>
              <w:t>6 000 €</w:t>
            </w:r>
          </w:p>
        </w:tc>
      </w:tr>
      <w:tr w:rsidR="00DE71FE" w14:paraId="6BF3784A" w14:textId="77777777" w:rsidTr="00AE7F0D">
        <w:trPr>
          <w:jc w:val="center"/>
        </w:trPr>
        <w:tc>
          <w:tcPr>
            <w:tcW w:w="1701" w:type="dxa"/>
            <w:shd w:val="clear" w:color="auto" w:fill="FFFFFF"/>
            <w:tcMar>
              <w:top w:w="100" w:type="dxa"/>
              <w:left w:w="120" w:type="dxa"/>
              <w:bottom w:w="100" w:type="dxa"/>
              <w:right w:w="120" w:type="dxa"/>
            </w:tcMar>
            <w:vAlign w:val="center"/>
          </w:tcPr>
          <w:p w14:paraId="446AB5B5" w14:textId="77777777" w:rsidR="00DE71FE" w:rsidRPr="00AE7F0D" w:rsidRDefault="00F54B0D">
            <w:pPr>
              <w:rPr>
                <w:b/>
                <w:bCs/>
              </w:rPr>
            </w:pPr>
            <w:r w:rsidRPr="00AE7F0D">
              <w:rPr>
                <w:b/>
                <w:bCs/>
                <w:sz w:val="18"/>
                <w:lang w:eastAsia="fr-FR"/>
              </w:rPr>
              <w:t>Membre de marché</w:t>
            </w:r>
          </w:p>
        </w:tc>
        <w:tc>
          <w:tcPr>
            <w:tcW w:w="6692" w:type="dxa"/>
            <w:shd w:val="clear" w:color="auto" w:fill="FFFFFF"/>
            <w:tcMar>
              <w:top w:w="100" w:type="dxa"/>
              <w:left w:w="120" w:type="dxa"/>
              <w:bottom w:w="100" w:type="dxa"/>
              <w:right w:w="120" w:type="dxa"/>
            </w:tcMar>
            <w:vAlign w:val="center"/>
          </w:tcPr>
          <w:p w14:paraId="4CC9AF94" w14:textId="77777777" w:rsidR="00DE71FE" w:rsidRDefault="00F54B0D">
            <w:r>
              <w:rPr>
                <w:sz w:val="18"/>
                <w:lang w:eastAsia="fr-FR"/>
              </w:rPr>
              <w:t>Prise en charge de la première cotation</w:t>
            </w:r>
          </w:p>
        </w:tc>
        <w:tc>
          <w:tcPr>
            <w:tcW w:w="1758" w:type="dxa"/>
            <w:shd w:val="clear" w:color="auto" w:fill="FFFFFF"/>
            <w:tcMar>
              <w:top w:w="100" w:type="dxa"/>
              <w:left w:w="120" w:type="dxa"/>
              <w:bottom w:w="100" w:type="dxa"/>
              <w:right w:w="120" w:type="dxa"/>
            </w:tcMar>
            <w:vAlign w:val="center"/>
          </w:tcPr>
          <w:p w14:paraId="70619DE6" w14:textId="77777777" w:rsidR="00DE71FE" w:rsidRDefault="00F54B0D">
            <w:pPr>
              <w:jc w:val="right"/>
            </w:pPr>
            <w:r>
              <w:rPr>
                <w:b/>
                <w:color w:val="19497D"/>
                <w:sz w:val="19"/>
                <w:lang w:eastAsia="fr-FR"/>
              </w:rPr>
              <w:t>6 000 €</w:t>
            </w:r>
          </w:p>
        </w:tc>
      </w:tr>
      <w:tr w:rsidR="00DE71FE" w14:paraId="6C11548C" w14:textId="77777777" w:rsidTr="00AE7F0D">
        <w:trPr>
          <w:jc w:val="center"/>
        </w:trPr>
        <w:tc>
          <w:tcPr>
            <w:tcW w:w="1701" w:type="dxa"/>
            <w:shd w:val="clear" w:color="auto" w:fill="FFFFFF"/>
            <w:tcMar>
              <w:top w:w="100" w:type="dxa"/>
              <w:left w:w="120" w:type="dxa"/>
              <w:bottom w:w="100" w:type="dxa"/>
              <w:right w:w="120" w:type="dxa"/>
            </w:tcMar>
            <w:vAlign w:val="center"/>
          </w:tcPr>
          <w:p w14:paraId="765A92E9" w14:textId="77777777" w:rsidR="00DE71FE" w:rsidRDefault="00F54B0D">
            <w:r>
              <w:rPr>
                <w:b/>
                <w:sz w:val="18"/>
                <w:lang w:eastAsia="fr-FR"/>
              </w:rPr>
              <w:t>CiiB</w:t>
            </w:r>
          </w:p>
        </w:tc>
        <w:tc>
          <w:tcPr>
            <w:tcW w:w="6692" w:type="dxa"/>
            <w:shd w:val="clear" w:color="auto" w:fill="FFFFFF"/>
            <w:tcMar>
              <w:top w:w="100" w:type="dxa"/>
              <w:left w:w="120" w:type="dxa"/>
              <w:bottom w:w="100" w:type="dxa"/>
              <w:right w:w="120" w:type="dxa"/>
            </w:tcMar>
            <w:vAlign w:val="center"/>
          </w:tcPr>
          <w:p w14:paraId="0BC2E15E" w14:textId="77777777" w:rsidR="00DE71FE" w:rsidRDefault="00F54B0D">
            <w:r>
              <w:rPr>
                <w:sz w:val="18"/>
                <w:lang w:eastAsia="fr-FR"/>
              </w:rPr>
              <w:t>Conduite et coordination de l’opération d’introduction</w:t>
            </w:r>
          </w:p>
        </w:tc>
        <w:tc>
          <w:tcPr>
            <w:tcW w:w="1758" w:type="dxa"/>
            <w:shd w:val="clear" w:color="auto" w:fill="FFFFFF"/>
            <w:tcMar>
              <w:top w:w="100" w:type="dxa"/>
              <w:left w:w="120" w:type="dxa"/>
              <w:bottom w:w="100" w:type="dxa"/>
              <w:right w:w="120" w:type="dxa"/>
            </w:tcMar>
            <w:vAlign w:val="center"/>
          </w:tcPr>
          <w:p w14:paraId="4E4C9C34" w14:textId="77777777" w:rsidR="00DE71FE" w:rsidRDefault="00F54B0D">
            <w:pPr>
              <w:jc w:val="right"/>
            </w:pPr>
            <w:r>
              <w:rPr>
                <w:b/>
                <w:color w:val="19497D"/>
                <w:sz w:val="19"/>
                <w:lang w:eastAsia="fr-FR"/>
              </w:rPr>
              <w:t>5 000 €</w:t>
            </w:r>
          </w:p>
        </w:tc>
      </w:tr>
      <w:tr w:rsidR="00DE71FE" w14:paraId="0F26A5F3" w14:textId="77777777" w:rsidTr="00AE7F0D">
        <w:trPr>
          <w:jc w:val="center"/>
        </w:trPr>
        <w:tc>
          <w:tcPr>
            <w:tcW w:w="1701" w:type="dxa"/>
            <w:shd w:val="clear" w:color="auto" w:fill="FFFFFF"/>
            <w:tcMar>
              <w:top w:w="100" w:type="dxa"/>
              <w:left w:w="120" w:type="dxa"/>
              <w:bottom w:w="100" w:type="dxa"/>
              <w:right w:w="120" w:type="dxa"/>
            </w:tcMar>
            <w:vAlign w:val="center"/>
          </w:tcPr>
          <w:p w14:paraId="6FE58102" w14:textId="77777777" w:rsidR="00DE71FE" w:rsidRDefault="00F54B0D">
            <w:r>
              <w:rPr>
                <w:b/>
                <w:sz w:val="18"/>
                <w:lang w:eastAsia="fr-FR"/>
              </w:rPr>
              <w:t>CiiB</w:t>
            </w:r>
          </w:p>
        </w:tc>
        <w:tc>
          <w:tcPr>
            <w:tcW w:w="6692" w:type="dxa"/>
            <w:shd w:val="clear" w:color="auto" w:fill="FFFFFF"/>
            <w:tcMar>
              <w:top w:w="100" w:type="dxa"/>
              <w:left w:w="120" w:type="dxa"/>
              <w:bottom w:w="100" w:type="dxa"/>
              <w:right w:w="120" w:type="dxa"/>
            </w:tcMar>
            <w:vAlign w:val="center"/>
          </w:tcPr>
          <w:p w14:paraId="52931732" w14:textId="77777777" w:rsidR="00DE71FE" w:rsidRDefault="00F54B0D">
            <w:r>
              <w:rPr>
                <w:sz w:val="18"/>
                <w:lang w:eastAsia="fr-FR"/>
              </w:rPr>
              <w:t>Élaboration du document d’information</w:t>
            </w:r>
          </w:p>
        </w:tc>
        <w:tc>
          <w:tcPr>
            <w:tcW w:w="1758" w:type="dxa"/>
            <w:shd w:val="clear" w:color="auto" w:fill="FFFFFF"/>
            <w:tcMar>
              <w:top w:w="100" w:type="dxa"/>
              <w:left w:w="120" w:type="dxa"/>
              <w:bottom w:w="100" w:type="dxa"/>
              <w:right w:w="120" w:type="dxa"/>
            </w:tcMar>
            <w:vAlign w:val="center"/>
          </w:tcPr>
          <w:p w14:paraId="6FEDC189" w14:textId="77777777" w:rsidR="00DE71FE" w:rsidRDefault="00F54B0D">
            <w:pPr>
              <w:jc w:val="right"/>
            </w:pPr>
            <w:r>
              <w:rPr>
                <w:b/>
                <w:color w:val="19497D"/>
                <w:sz w:val="19"/>
                <w:lang w:eastAsia="fr-FR"/>
              </w:rPr>
              <w:t>7 500 €</w:t>
            </w:r>
          </w:p>
        </w:tc>
      </w:tr>
      <w:tr w:rsidR="00DE71FE" w14:paraId="22EC0F1A" w14:textId="77777777" w:rsidTr="00AE7F0D">
        <w:trPr>
          <w:jc w:val="center"/>
        </w:trPr>
        <w:tc>
          <w:tcPr>
            <w:tcW w:w="8393" w:type="dxa"/>
            <w:gridSpan w:val="2"/>
            <w:shd w:val="clear" w:color="auto" w:fill="1699A4"/>
            <w:tcMar>
              <w:top w:w="100" w:type="dxa"/>
              <w:left w:w="120" w:type="dxa"/>
              <w:bottom w:w="100" w:type="dxa"/>
              <w:right w:w="120" w:type="dxa"/>
            </w:tcMar>
            <w:vAlign w:val="center"/>
          </w:tcPr>
          <w:p w14:paraId="58B91472" w14:textId="77777777" w:rsidR="00DE71FE" w:rsidRPr="00AE7F0D" w:rsidRDefault="00C24B34">
            <w:pPr>
              <w:rPr>
                <w:b/>
                <w:bCs/>
                <w:color w:val="FFFFFF" w:themeColor="background1"/>
              </w:rPr>
            </w:pPr>
            <w:r w:rsidRPr="00AE7F0D">
              <w:rPr>
                <w:b/>
                <w:bCs/>
                <w:color w:val="FFFFFF" w:themeColor="background1"/>
                <w:lang w:eastAsia="fr-FR"/>
              </w:rPr>
              <w:t>Coût total indicatif de l’introduction</w:t>
            </w:r>
          </w:p>
        </w:tc>
        <w:tc>
          <w:tcPr>
            <w:tcW w:w="1758" w:type="dxa"/>
            <w:shd w:val="clear" w:color="auto" w:fill="1699A4"/>
            <w:tcMar>
              <w:top w:w="100" w:type="dxa"/>
              <w:left w:w="120" w:type="dxa"/>
              <w:bottom w:w="100" w:type="dxa"/>
              <w:right w:w="120" w:type="dxa"/>
            </w:tcMar>
            <w:vAlign w:val="center"/>
          </w:tcPr>
          <w:p w14:paraId="4F5249F5" w14:textId="77777777" w:rsidR="00DE71FE" w:rsidRDefault="00F54B0D">
            <w:pPr>
              <w:jc w:val="right"/>
            </w:pPr>
            <w:r>
              <w:rPr>
                <w:b/>
                <w:color w:val="FFFFFF"/>
                <w:sz w:val="18"/>
                <w:lang w:eastAsia="fr-FR"/>
              </w:rPr>
              <w:t>24 500 €</w:t>
            </w:r>
          </w:p>
        </w:tc>
      </w:tr>
    </w:tbl>
    <w:p w14:paraId="550C1CC7" w14:textId="77777777" w:rsidR="001B34E4" w:rsidRDefault="001B34E4">
      <w:pPr>
        <w:pStyle w:val="Titre2"/>
      </w:pPr>
    </w:p>
    <w:p w14:paraId="4CB8F14F" w14:textId="77777777" w:rsidR="00DE71FE" w:rsidRDefault="00F54B0D">
      <w:pPr>
        <w:pStyle w:val="Titre2"/>
      </w:pPr>
      <w:r>
        <w:rPr>
          <w:lang w:eastAsia="fr-FR"/>
        </w:rPr>
        <w:t>Comment est calculé le tarif Euronext ?</w:t>
      </w:r>
    </w:p>
    <w:p w14:paraId="6E0E3691" w14:textId="77777777" w:rsidR="00DE71FE" w:rsidRDefault="00F54B0D">
      <w:pPr>
        <w:rPr>
          <w:b/>
        </w:rPr>
      </w:pPr>
      <w:r>
        <w:rPr>
          <w:lang w:eastAsia="fr-FR"/>
        </w:rPr>
        <w:t>Pour une première admission sur Euronext Access</w:t>
      </w:r>
      <w:r w:rsidR="00C24B34">
        <w:rPr>
          <w:lang w:eastAsia="fr-FR"/>
        </w:rPr>
        <w:t xml:space="preserve"> (ou Euronext Access +)</w:t>
      </w:r>
      <w:r>
        <w:rPr>
          <w:lang w:eastAsia="fr-FR"/>
        </w:rPr>
        <w:t xml:space="preserve">, le barème 2026 prévoit une commission variable de 0,070 % de la capitalisation </w:t>
      </w:r>
      <w:r w:rsidR="00C24B34">
        <w:rPr>
          <w:lang w:eastAsia="fr-FR"/>
        </w:rPr>
        <w:t xml:space="preserve">boursière </w:t>
      </w:r>
      <w:r>
        <w:rPr>
          <w:lang w:eastAsia="fr-FR"/>
        </w:rPr>
        <w:t xml:space="preserve">jusqu’à 50 M€, avec un minimum de 6 000 €. </w:t>
      </w:r>
      <w:r>
        <w:rPr>
          <w:b/>
          <w:lang w:eastAsia="fr-FR"/>
        </w:rPr>
        <w:t>Pour une société valorisée 3 M€, le calcul théorique donne 2 100 € ; le minimum de 6 000 € s’applique donc.</w:t>
      </w:r>
    </w:p>
    <w:p w14:paraId="325054D5" w14:textId="77777777" w:rsidR="001B34E4" w:rsidRDefault="001B34E4"/>
    <w:tbl>
      <w:tblPr>
        <w:tblW w:w="5000" w:type="pct"/>
        <w:jc w:val="center"/>
        <w:tblLayout w:type="fixed"/>
        <w:tblCellMar>
          <w:top w:w="90" w:type="dxa"/>
          <w:left w:w="100" w:type="dxa"/>
          <w:bottom w:w="90" w:type="dxa"/>
          <w:right w:w="100" w:type="dxa"/>
        </w:tblCellMar>
        <w:tblLook w:val="04A0" w:firstRow="1" w:lastRow="0" w:firstColumn="1" w:lastColumn="0" w:noHBand="0" w:noVBand="1"/>
      </w:tblPr>
      <w:tblGrid>
        <w:gridCol w:w="10151"/>
      </w:tblGrid>
      <w:tr w:rsidR="00DE71FE" w14:paraId="20CF3EF0" w14:textId="77777777">
        <w:trPr>
          <w:jc w:val="center"/>
        </w:trPr>
        <w:tc>
          <w:tcPr>
            <w:tcW w:w="9951" w:type="dxa"/>
            <w:shd w:val="clear" w:color="auto" w:fill="FFF7E8"/>
            <w:tcMar>
              <w:top w:w="160" w:type="dxa"/>
              <w:left w:w="180" w:type="dxa"/>
              <w:bottom w:w="150" w:type="dxa"/>
              <w:right w:w="180" w:type="dxa"/>
            </w:tcMar>
            <w:vAlign w:val="center"/>
          </w:tcPr>
          <w:p w14:paraId="4ED34878" w14:textId="77777777" w:rsidR="00C46145" w:rsidRDefault="00EC3A71">
            <w:r>
              <w:rPr>
                <w:b/>
              </w:rPr>
              <w:t>À prévoir également l’année de l’admission, lors d’une cession d’actions dans le public</w:t>
            </w:r>
          </w:p>
          <w:p w14:paraId="1A8FFC50" w14:textId="77777777" w:rsidR="00C46145" w:rsidRDefault="00EC3A71">
            <w:r>
              <w:t>Des frais de centralisation peuvent également être dus selon la structure de l’opération. Ces montants ne sont pas inclus dans le total indicatif de 24 500 €.</w:t>
            </w:r>
          </w:p>
        </w:tc>
      </w:tr>
    </w:tbl>
    <w:p w14:paraId="49AE47AA" w14:textId="77777777" w:rsidR="001B34E4" w:rsidRDefault="001B34E4">
      <w:pPr>
        <w:spacing w:before="180"/>
        <w:jc w:val="center"/>
        <w:rPr>
          <w:i/>
          <w:color w:val="19497D"/>
          <w:sz w:val="20"/>
        </w:rPr>
      </w:pPr>
    </w:p>
    <w:p w14:paraId="3E0033BA" w14:textId="360D64BD" w:rsidR="00DE71FE" w:rsidRDefault="00F54B0D">
      <w:pPr>
        <w:spacing w:before="180"/>
        <w:jc w:val="center"/>
      </w:pPr>
      <w:r>
        <w:rPr>
          <w:i/>
          <w:color w:val="19497D"/>
          <w:sz w:val="20"/>
          <w:lang w:eastAsia="fr-FR"/>
        </w:rPr>
        <w:t xml:space="preserve">Ce budget couvre la préparation et la réalisation de l’admission. Les dépenses </w:t>
      </w:r>
      <w:r w:rsidR="00AE7F0D">
        <w:rPr>
          <w:i/>
          <w:color w:val="19497D"/>
          <w:sz w:val="20"/>
          <w:lang w:eastAsia="fr-FR"/>
        </w:rPr>
        <w:t>à prévoir</w:t>
      </w:r>
      <w:r>
        <w:rPr>
          <w:i/>
          <w:color w:val="19497D"/>
          <w:sz w:val="20"/>
          <w:lang w:eastAsia="fr-FR"/>
        </w:rPr>
        <w:t xml:space="preserve"> de communication financière (relations presse, réunions d’investisseurs, événements, achat d’espaces...) font l’objet d’un budget distinct.</w:t>
      </w:r>
    </w:p>
    <w:p w14:paraId="28CD40C9" w14:textId="77777777" w:rsidR="00DE71FE" w:rsidRDefault="00DE71FE"/>
    <w:p w14:paraId="653B2D2B" w14:textId="77777777" w:rsidR="00DE71FE" w:rsidRPr="001B34E4" w:rsidRDefault="00F54B0D">
      <w:pPr>
        <w:pStyle w:val="Titre1"/>
        <w:spacing w:before="40" w:after="40"/>
        <w:rPr>
          <w:sz w:val="40"/>
          <w:szCs w:val="40"/>
        </w:rPr>
      </w:pPr>
      <w:r w:rsidRPr="001B34E4">
        <w:rPr>
          <w:sz w:val="40"/>
          <w:szCs w:val="40"/>
          <w:lang w:eastAsia="fr-FR"/>
        </w:rPr>
        <w:t>Après l’introduction : quel budget annuel ?</w:t>
      </w:r>
    </w:p>
    <w:p w14:paraId="2A40B5C5" w14:textId="77777777" w:rsidR="001B34E4" w:rsidRDefault="001B34E4">
      <w:pPr>
        <w:spacing w:before="40" w:after="40"/>
      </w:pPr>
    </w:p>
    <w:p w14:paraId="0F8A16AB" w14:textId="77777777" w:rsidR="00DE71FE" w:rsidRDefault="00F54B0D">
      <w:pPr>
        <w:spacing w:before="40" w:after="40"/>
      </w:pPr>
      <w:r>
        <w:rPr>
          <w:lang w:eastAsia="fr-FR"/>
        </w:rPr>
        <w:t>Une société admise sur Euronext Access doit ensuite prévoir les frais liés à sa cotation, à son accompagnement boursier et à la tenue de son registre des mouvements de titres.</w:t>
      </w:r>
    </w:p>
    <w:p w14:paraId="3F945844" w14:textId="77777777" w:rsidR="001B34E4" w:rsidRDefault="001B34E4">
      <w:pPr>
        <w:spacing w:before="40" w:after="40"/>
      </w:pPr>
    </w:p>
    <w:tbl>
      <w:tblPr>
        <w:tblW w:w="5000" w:type="pct"/>
        <w:jc w:val="center"/>
        <w:tblLayout w:type="fixed"/>
        <w:tblCellMar>
          <w:top w:w="90" w:type="dxa"/>
          <w:left w:w="100" w:type="dxa"/>
          <w:bottom w:w="90" w:type="dxa"/>
          <w:right w:w="100" w:type="dxa"/>
        </w:tblCellMar>
        <w:tblLook w:val="04A0" w:firstRow="1" w:lastRow="0" w:firstColumn="1" w:lastColumn="0" w:noHBand="0" w:noVBand="1"/>
      </w:tblPr>
      <w:tblGrid>
        <w:gridCol w:w="8222"/>
        <w:gridCol w:w="1929"/>
      </w:tblGrid>
      <w:tr w:rsidR="00DE71FE" w14:paraId="06753DA3" w14:textId="77777777">
        <w:trPr>
          <w:jc w:val="center"/>
        </w:trPr>
        <w:tc>
          <w:tcPr>
            <w:tcW w:w="8220" w:type="dxa"/>
            <w:shd w:val="clear" w:color="auto" w:fill="19497D"/>
            <w:tcMar>
              <w:top w:w="100" w:type="dxa"/>
              <w:left w:w="120" w:type="dxa"/>
              <w:bottom w:w="100" w:type="dxa"/>
              <w:right w:w="120" w:type="dxa"/>
            </w:tcMar>
            <w:vAlign w:val="center"/>
          </w:tcPr>
          <w:p w14:paraId="390B00BF" w14:textId="77777777" w:rsidR="00DE71FE" w:rsidRDefault="00F54B0D">
            <w:pPr>
              <w:spacing w:before="20" w:after="20"/>
              <w:jc w:val="center"/>
            </w:pPr>
            <w:r>
              <w:rPr>
                <w:b/>
                <w:color w:val="FFFFFF"/>
                <w:sz w:val="18"/>
                <w:lang w:eastAsia="fr-FR"/>
              </w:rPr>
              <w:t>Prestation annuelle</w:t>
            </w:r>
          </w:p>
        </w:tc>
        <w:tc>
          <w:tcPr>
            <w:tcW w:w="1928" w:type="dxa"/>
            <w:shd w:val="clear" w:color="auto" w:fill="19497D"/>
            <w:tcMar>
              <w:top w:w="100" w:type="dxa"/>
              <w:left w:w="120" w:type="dxa"/>
              <w:bottom w:w="100" w:type="dxa"/>
              <w:right w:w="120" w:type="dxa"/>
            </w:tcMar>
            <w:vAlign w:val="center"/>
          </w:tcPr>
          <w:p w14:paraId="76286345" w14:textId="77777777" w:rsidR="00DE71FE" w:rsidRDefault="00F54B0D">
            <w:pPr>
              <w:spacing w:before="20" w:after="20"/>
              <w:jc w:val="center"/>
            </w:pPr>
            <w:r>
              <w:rPr>
                <w:b/>
                <w:color w:val="FFFFFF"/>
                <w:sz w:val="18"/>
                <w:lang w:eastAsia="fr-FR"/>
              </w:rPr>
              <w:t>Budget HT</w:t>
            </w:r>
          </w:p>
        </w:tc>
      </w:tr>
      <w:tr w:rsidR="00DE71FE" w14:paraId="6C9587D2" w14:textId="77777777">
        <w:trPr>
          <w:jc w:val="center"/>
        </w:trPr>
        <w:tc>
          <w:tcPr>
            <w:tcW w:w="8220" w:type="dxa"/>
            <w:tcMar>
              <w:top w:w="100" w:type="dxa"/>
              <w:left w:w="120" w:type="dxa"/>
              <w:bottom w:w="100" w:type="dxa"/>
              <w:right w:w="120" w:type="dxa"/>
            </w:tcMar>
            <w:vAlign w:val="center"/>
          </w:tcPr>
          <w:p w14:paraId="5ACA5B86" w14:textId="77777777" w:rsidR="00DE71FE" w:rsidRDefault="00F54B0D">
            <w:pPr>
              <w:spacing w:before="20" w:after="20"/>
            </w:pPr>
            <w:r>
              <w:rPr>
                <w:sz w:val="18"/>
                <w:lang w:eastAsia="fr-FR"/>
              </w:rPr>
              <w:t>Euronext - commission annuelle de cotation sur Euronext Access (année pleine)</w:t>
            </w:r>
          </w:p>
        </w:tc>
        <w:tc>
          <w:tcPr>
            <w:tcW w:w="1928" w:type="dxa"/>
            <w:tcMar>
              <w:top w:w="100" w:type="dxa"/>
              <w:left w:w="120" w:type="dxa"/>
              <w:bottom w:w="100" w:type="dxa"/>
              <w:right w:w="120" w:type="dxa"/>
            </w:tcMar>
            <w:vAlign w:val="center"/>
          </w:tcPr>
          <w:p w14:paraId="2025FE32" w14:textId="77777777" w:rsidR="00DE71FE" w:rsidRDefault="00F54B0D">
            <w:pPr>
              <w:spacing w:before="20" w:after="20"/>
              <w:jc w:val="right"/>
            </w:pPr>
            <w:r>
              <w:rPr>
                <w:b/>
                <w:color w:val="19497D"/>
                <w:sz w:val="19"/>
                <w:lang w:eastAsia="fr-FR"/>
              </w:rPr>
              <w:t>6 000 €</w:t>
            </w:r>
          </w:p>
        </w:tc>
      </w:tr>
      <w:tr w:rsidR="00DE71FE" w14:paraId="4F261D57" w14:textId="77777777">
        <w:trPr>
          <w:jc w:val="center"/>
        </w:trPr>
        <w:tc>
          <w:tcPr>
            <w:tcW w:w="8220" w:type="dxa"/>
            <w:tcMar>
              <w:top w:w="100" w:type="dxa"/>
              <w:left w:w="120" w:type="dxa"/>
              <w:bottom w:w="100" w:type="dxa"/>
              <w:right w:w="120" w:type="dxa"/>
            </w:tcMar>
            <w:vAlign w:val="center"/>
          </w:tcPr>
          <w:p w14:paraId="3F888451" w14:textId="77777777" w:rsidR="00DE71FE" w:rsidRDefault="00F54B0D">
            <w:pPr>
              <w:spacing w:before="20" w:after="20"/>
            </w:pPr>
            <w:r>
              <w:rPr>
                <w:sz w:val="18"/>
                <w:lang w:eastAsia="fr-FR"/>
              </w:rPr>
              <w:t>CiiB - accompagnement annuel de la société cotée</w:t>
            </w:r>
          </w:p>
        </w:tc>
        <w:tc>
          <w:tcPr>
            <w:tcW w:w="1928" w:type="dxa"/>
            <w:tcMar>
              <w:top w:w="100" w:type="dxa"/>
              <w:left w:w="120" w:type="dxa"/>
              <w:bottom w:w="100" w:type="dxa"/>
              <w:right w:w="120" w:type="dxa"/>
            </w:tcMar>
            <w:vAlign w:val="center"/>
          </w:tcPr>
          <w:p w14:paraId="7348E92B" w14:textId="77777777" w:rsidR="00DE71FE" w:rsidRDefault="00F54B0D">
            <w:pPr>
              <w:spacing w:before="20" w:after="20"/>
              <w:jc w:val="right"/>
            </w:pPr>
            <w:r>
              <w:rPr>
                <w:b/>
                <w:color w:val="19497D"/>
                <w:sz w:val="19"/>
                <w:lang w:eastAsia="fr-FR"/>
              </w:rPr>
              <w:t>5 000 €</w:t>
            </w:r>
          </w:p>
        </w:tc>
      </w:tr>
      <w:tr w:rsidR="00DE71FE" w14:paraId="53259B24" w14:textId="77777777">
        <w:trPr>
          <w:jc w:val="center"/>
        </w:trPr>
        <w:tc>
          <w:tcPr>
            <w:tcW w:w="8220" w:type="dxa"/>
            <w:tcMar>
              <w:top w:w="100" w:type="dxa"/>
              <w:left w:w="120" w:type="dxa"/>
              <w:bottom w:w="100" w:type="dxa"/>
              <w:right w:w="120" w:type="dxa"/>
            </w:tcMar>
            <w:vAlign w:val="center"/>
          </w:tcPr>
          <w:p w14:paraId="0440833A" w14:textId="77777777" w:rsidR="00DE71FE" w:rsidRDefault="00F54B0D">
            <w:pPr>
              <w:spacing w:before="20" w:after="20"/>
            </w:pPr>
            <w:r>
              <w:rPr>
                <w:sz w:val="18"/>
                <w:lang w:eastAsia="fr-FR"/>
              </w:rPr>
              <w:t xml:space="preserve">CiiB - tenue du registre des mouvements de titres et service titres en liaison avec </w:t>
            </w:r>
            <w:proofErr w:type="spellStart"/>
            <w:r>
              <w:rPr>
                <w:sz w:val="18"/>
                <w:lang w:eastAsia="fr-FR"/>
              </w:rPr>
              <w:t>Euroclear</w:t>
            </w:r>
            <w:proofErr w:type="spellEnd"/>
          </w:p>
        </w:tc>
        <w:tc>
          <w:tcPr>
            <w:tcW w:w="1928" w:type="dxa"/>
            <w:tcMar>
              <w:top w:w="100" w:type="dxa"/>
              <w:left w:w="120" w:type="dxa"/>
              <w:bottom w:w="100" w:type="dxa"/>
              <w:right w:w="120" w:type="dxa"/>
            </w:tcMar>
            <w:vAlign w:val="center"/>
          </w:tcPr>
          <w:p w14:paraId="39F6FBC6" w14:textId="77777777" w:rsidR="00DE71FE" w:rsidRDefault="00F54B0D">
            <w:pPr>
              <w:spacing w:before="20" w:after="20"/>
              <w:jc w:val="right"/>
            </w:pPr>
            <w:r>
              <w:rPr>
                <w:b/>
                <w:color w:val="19497D"/>
                <w:sz w:val="19"/>
                <w:lang w:eastAsia="fr-FR"/>
              </w:rPr>
              <w:t>8 500 €</w:t>
            </w:r>
          </w:p>
        </w:tc>
      </w:tr>
      <w:tr w:rsidR="00DE71FE" w14:paraId="3D8F861A" w14:textId="77777777">
        <w:trPr>
          <w:jc w:val="center"/>
        </w:trPr>
        <w:tc>
          <w:tcPr>
            <w:tcW w:w="8220" w:type="dxa"/>
            <w:shd w:val="clear" w:color="auto" w:fill="1699A4"/>
            <w:tcMar>
              <w:top w:w="100" w:type="dxa"/>
              <w:left w:w="120" w:type="dxa"/>
              <w:bottom w:w="100" w:type="dxa"/>
              <w:right w:w="120" w:type="dxa"/>
            </w:tcMar>
            <w:vAlign w:val="center"/>
          </w:tcPr>
          <w:p w14:paraId="64BDA777" w14:textId="77777777" w:rsidR="00DE71FE" w:rsidRDefault="00E24987">
            <w:pPr>
              <w:spacing w:before="20" w:after="20"/>
            </w:pPr>
            <w:r>
              <w:rPr>
                <w:b/>
                <w:color w:val="FFFFFF"/>
                <w:sz w:val="20"/>
                <w:lang w:eastAsia="fr-FR"/>
              </w:rPr>
              <w:t>Total annuel indicatif</w:t>
            </w:r>
            <w:r w:rsidR="00F54B0D">
              <w:rPr>
                <w:b/>
                <w:color w:val="FFFFFF"/>
                <w:sz w:val="20"/>
                <w:lang w:eastAsia="fr-FR"/>
              </w:rPr>
              <w:t xml:space="preserve"> (</w:t>
            </w:r>
            <w:r>
              <w:rPr>
                <w:b/>
                <w:color w:val="FFFFFF"/>
                <w:sz w:val="20"/>
                <w:lang w:eastAsia="fr-FR"/>
              </w:rPr>
              <w:t>année pleine</w:t>
            </w:r>
            <w:r w:rsidR="00F54B0D">
              <w:rPr>
                <w:b/>
                <w:color w:val="FFFFFF"/>
                <w:sz w:val="20"/>
                <w:lang w:eastAsia="fr-FR"/>
              </w:rPr>
              <w:t>)</w:t>
            </w:r>
          </w:p>
        </w:tc>
        <w:tc>
          <w:tcPr>
            <w:tcW w:w="1928" w:type="dxa"/>
            <w:shd w:val="clear" w:color="auto" w:fill="1699A4"/>
            <w:tcMar>
              <w:top w:w="100" w:type="dxa"/>
              <w:left w:w="120" w:type="dxa"/>
              <w:bottom w:w="100" w:type="dxa"/>
              <w:right w:w="120" w:type="dxa"/>
            </w:tcMar>
            <w:vAlign w:val="center"/>
          </w:tcPr>
          <w:p w14:paraId="5ACE75F1" w14:textId="77777777" w:rsidR="00DE71FE" w:rsidRDefault="00F54B0D">
            <w:pPr>
              <w:spacing w:before="20" w:after="20"/>
              <w:jc w:val="right"/>
            </w:pPr>
            <w:r>
              <w:rPr>
                <w:b/>
                <w:color w:val="FFFFFF"/>
                <w:sz w:val="18"/>
                <w:lang w:eastAsia="fr-FR"/>
              </w:rPr>
              <w:t>19 500 €</w:t>
            </w:r>
          </w:p>
        </w:tc>
      </w:tr>
    </w:tbl>
    <w:p w14:paraId="46186E55" w14:textId="77777777" w:rsidR="001B34E4" w:rsidRDefault="001B34E4">
      <w:pPr>
        <w:pStyle w:val="Titre2"/>
        <w:spacing w:before="40" w:after="40"/>
      </w:pPr>
    </w:p>
    <w:p w14:paraId="324D9962" w14:textId="77777777" w:rsidR="00DE71FE" w:rsidRDefault="00F54B0D">
      <w:pPr>
        <w:pStyle w:val="Titre2"/>
        <w:spacing w:before="40" w:after="40"/>
      </w:pPr>
      <w:r>
        <w:rPr>
          <w:lang w:eastAsia="fr-FR"/>
        </w:rPr>
        <w:t>L’accompagnement annuel de CiiB</w:t>
      </w:r>
    </w:p>
    <w:p w14:paraId="66020AA8" w14:textId="77777777" w:rsidR="00DE71FE" w:rsidRDefault="00F54B0D">
      <w:pPr>
        <w:spacing w:before="40" w:after="40"/>
      </w:pPr>
      <w:r>
        <w:rPr>
          <w:lang w:eastAsia="fr-FR"/>
        </w:rPr>
        <w:t xml:space="preserve">CiiB accompagne la société </w:t>
      </w:r>
      <w:r w:rsidR="00E24987">
        <w:rPr>
          <w:lang w:eastAsia="fr-FR"/>
        </w:rPr>
        <w:t xml:space="preserve">durablement </w:t>
      </w:r>
      <w:r>
        <w:rPr>
          <w:lang w:eastAsia="fr-FR"/>
        </w:rPr>
        <w:t>après son admission : suivi de la vie boursière, conseil en communication financière, assistance dans les relations avec les intervenants du marché et accompagnement dans le respect des obligations applicables à la société cotée.</w:t>
      </w:r>
    </w:p>
    <w:p w14:paraId="775FC8DD" w14:textId="77777777" w:rsidR="001B34E4" w:rsidRDefault="001B34E4">
      <w:pPr>
        <w:pStyle w:val="Titre2"/>
        <w:spacing w:before="40" w:after="40"/>
      </w:pPr>
    </w:p>
    <w:p w14:paraId="30A9AD76" w14:textId="77777777" w:rsidR="00DE71FE" w:rsidRDefault="00F54B0D">
      <w:pPr>
        <w:pStyle w:val="Titre2"/>
        <w:spacing w:before="40" w:after="40"/>
      </w:pPr>
      <w:r>
        <w:rPr>
          <w:lang w:eastAsia="fr-FR"/>
        </w:rPr>
        <w:t>Tenue du registre des mouvements de titres et service titres</w:t>
      </w:r>
    </w:p>
    <w:p w14:paraId="78706659" w14:textId="77777777" w:rsidR="00DE71FE" w:rsidRDefault="00F54B0D">
      <w:pPr>
        <w:spacing w:before="40" w:after="40"/>
      </w:pPr>
      <w:r>
        <w:rPr>
          <w:lang w:eastAsia="fr-FR"/>
        </w:rPr>
        <w:t xml:space="preserve">CiiB assure la tenue du registre des mouvements de titres et le suivi nominatif des actionnaires. TR@CTION permet de suivre les comptes individuels, les mouvements et les opérations sur titres, notamment la distribution de dividendes. Pour les sociétés cotées, ce service est organisé en liaison avec les banques concernées et </w:t>
      </w:r>
      <w:proofErr w:type="spellStart"/>
      <w:r>
        <w:rPr>
          <w:lang w:eastAsia="fr-FR"/>
        </w:rPr>
        <w:t>Euroclear</w:t>
      </w:r>
      <w:proofErr w:type="spellEnd"/>
      <w:r>
        <w:rPr>
          <w:lang w:eastAsia="fr-FR"/>
        </w:rPr>
        <w:t>.</w:t>
      </w:r>
    </w:p>
    <w:p w14:paraId="0B136669" w14:textId="77777777" w:rsidR="001B34E4" w:rsidRDefault="001B34E4">
      <w:pPr>
        <w:pStyle w:val="Titre2"/>
        <w:spacing w:before="40" w:after="40"/>
      </w:pPr>
    </w:p>
    <w:p w14:paraId="024C8A36" w14:textId="77777777" w:rsidR="00DE71FE" w:rsidRDefault="00F54B0D">
      <w:pPr>
        <w:pStyle w:val="Titre2"/>
        <w:spacing w:before="40" w:after="40"/>
      </w:pPr>
      <w:r>
        <w:rPr>
          <w:lang w:eastAsia="fr-FR"/>
        </w:rPr>
        <w:t>Une ambition historique : rendre la Bourse accessible aux PME</w:t>
      </w:r>
    </w:p>
    <w:p w14:paraId="4D5EF8B5" w14:textId="77777777" w:rsidR="00DE71FE" w:rsidRDefault="00F54B0D">
      <w:pPr>
        <w:spacing w:before="40" w:after="40"/>
      </w:pPr>
      <w:r>
        <w:rPr>
          <w:lang w:eastAsia="fr-FR"/>
        </w:rPr>
        <w:t>Dès le début des années 1980, Jean SALWA et CiiB défendaient l’ouverture de la Bourse aux PME-PMI et la réduction de son coût d’accès, une ambition qui demeure au cœur de l’approche de CiiB.</w:t>
      </w:r>
    </w:p>
    <w:p w14:paraId="4F780F59" w14:textId="77777777" w:rsidR="001B34E4" w:rsidRDefault="001B34E4">
      <w:pPr>
        <w:spacing w:before="40" w:after="40"/>
      </w:pPr>
    </w:p>
    <w:tbl>
      <w:tblPr>
        <w:tblW w:w="5000" w:type="pct"/>
        <w:jc w:val="center"/>
        <w:tblLayout w:type="fixed"/>
        <w:tblCellMar>
          <w:top w:w="90" w:type="dxa"/>
          <w:left w:w="100" w:type="dxa"/>
          <w:bottom w:w="90" w:type="dxa"/>
          <w:right w:w="100" w:type="dxa"/>
        </w:tblCellMar>
        <w:tblLook w:val="04A0" w:firstRow="1" w:lastRow="0" w:firstColumn="1" w:lastColumn="0" w:noHBand="0" w:noVBand="1"/>
      </w:tblPr>
      <w:tblGrid>
        <w:gridCol w:w="10151"/>
      </w:tblGrid>
      <w:tr w:rsidR="00DE71FE" w14:paraId="2D0BE9EC" w14:textId="77777777">
        <w:trPr>
          <w:jc w:val="center"/>
        </w:trPr>
        <w:tc>
          <w:tcPr>
            <w:tcW w:w="9951" w:type="dxa"/>
            <w:shd w:val="clear" w:color="auto" w:fill="F3F6F8"/>
            <w:tcMar>
              <w:top w:w="160" w:type="dxa"/>
              <w:left w:w="180" w:type="dxa"/>
              <w:bottom w:w="150" w:type="dxa"/>
              <w:right w:w="180" w:type="dxa"/>
            </w:tcMar>
            <w:vAlign w:val="center"/>
          </w:tcPr>
          <w:p w14:paraId="4BF1A0C6" w14:textId="77777777" w:rsidR="00DE71FE" w:rsidRDefault="00F54B0D">
            <w:pPr>
              <w:spacing w:before="20" w:after="20"/>
            </w:pPr>
            <w:r>
              <w:rPr>
                <w:b/>
                <w:color w:val="19497D"/>
                <w:sz w:val="18"/>
                <w:lang w:eastAsia="fr-FR"/>
              </w:rPr>
              <w:t xml:space="preserve">Simulation indicative - </w:t>
            </w:r>
            <w:r w:rsidR="001B34E4">
              <w:rPr>
                <w:b/>
                <w:color w:val="19497D"/>
                <w:sz w:val="18"/>
                <w:lang w:eastAsia="fr-FR"/>
              </w:rPr>
              <w:t>octobre</w:t>
            </w:r>
            <w:r>
              <w:rPr>
                <w:b/>
                <w:color w:val="19497D"/>
                <w:sz w:val="18"/>
                <w:lang w:eastAsia="fr-FR"/>
              </w:rPr>
              <w:t xml:space="preserve"> 2026</w:t>
            </w:r>
          </w:p>
          <w:p w14:paraId="0FB1A4CC" w14:textId="77777777" w:rsidR="00DE71FE" w:rsidRDefault="00F54B0D">
            <w:pPr>
              <w:spacing w:before="20" w:after="20" w:line="259" w:lineRule="auto"/>
            </w:pPr>
            <w:r>
              <w:rPr>
                <w:sz w:val="18"/>
                <w:lang w:eastAsia="fr-FR"/>
              </w:rPr>
              <w:t xml:space="preserve">Les montants présentés sont des ordres de grandeur et ne constituent pas un devis. Hypothèse : PME valorisée 3 M€. Tarifs CiiB à la date du document ; frais Euronext fondés sur le </w:t>
            </w:r>
            <w:proofErr w:type="gramStart"/>
            <w:r>
              <w:rPr>
                <w:sz w:val="18"/>
                <w:lang w:eastAsia="fr-FR"/>
              </w:rPr>
              <w:t>Listing</w:t>
            </w:r>
            <w:proofErr w:type="gramEnd"/>
            <w:r>
              <w:rPr>
                <w:sz w:val="18"/>
                <w:lang w:eastAsia="fr-FR"/>
              </w:rPr>
              <w:t xml:space="preserve"> </w:t>
            </w:r>
            <w:proofErr w:type="spellStart"/>
            <w:r>
              <w:rPr>
                <w:sz w:val="18"/>
                <w:lang w:eastAsia="fr-FR"/>
              </w:rPr>
              <w:t>Fee</w:t>
            </w:r>
            <w:proofErr w:type="spellEnd"/>
            <w:r>
              <w:rPr>
                <w:sz w:val="18"/>
                <w:lang w:eastAsia="fr-FR"/>
              </w:rPr>
              <w:t xml:space="preserve"> Book 2026 applicable aux émetteurs admis à compter du 1er janvier 2025. Le coût définitif dépend de la structure de l’opération et des intervenants nécessaires.</w:t>
            </w:r>
          </w:p>
        </w:tc>
      </w:tr>
    </w:tbl>
    <w:p w14:paraId="3D19C4F9" w14:textId="77777777" w:rsidR="00DE71FE" w:rsidRDefault="00F54B0D">
      <w:pPr>
        <w:spacing w:before="40" w:after="40"/>
        <w:jc w:val="center"/>
      </w:pPr>
      <w:r>
        <w:rPr>
          <w:b/>
          <w:color w:val="19497D"/>
          <w:lang w:eastAsia="fr-FR"/>
        </w:rPr>
        <w:t>Parler de votre projet d’introduction en Bourse</w:t>
      </w:r>
    </w:p>
    <w:p w14:paraId="20A64DD0" w14:textId="77777777" w:rsidR="00DE71FE" w:rsidRDefault="00F54B0D">
      <w:pPr>
        <w:spacing w:before="40" w:after="40"/>
        <w:jc w:val="center"/>
      </w:pPr>
      <w:r>
        <w:rPr>
          <w:color w:val="1699A4"/>
          <w:lang w:eastAsia="fr-FR"/>
        </w:rPr>
        <w:t>CiiB - 01 42 46 11 73 - contact@ciib.fr - www.ciib.fr</w:t>
      </w:r>
    </w:p>
    <w:sectPr w:rsidR="00DE71FE" w:rsidSect="00034616">
      <w:headerReference w:type="default" r:id="rId9"/>
      <w:footerReference w:type="default" r:id="rId10"/>
      <w:pgSz w:w="11909" w:h="16834"/>
      <w:pgMar w:top="822" w:right="879" w:bottom="822"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1C954" w14:textId="77777777" w:rsidR="00AF08C0" w:rsidRDefault="00AF08C0">
      <w:pPr>
        <w:spacing w:after="0" w:line="240" w:lineRule="auto"/>
      </w:pPr>
      <w:r>
        <w:separator/>
      </w:r>
    </w:p>
  </w:endnote>
  <w:endnote w:type="continuationSeparator" w:id="0">
    <w:p w14:paraId="62FD38FA" w14:textId="77777777" w:rsidR="00AF08C0" w:rsidRDefault="00AF0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8AE9" w14:textId="77777777" w:rsidR="00DE71FE" w:rsidRDefault="00F54B0D" w:rsidP="001B34E4">
    <w:pPr>
      <w:pStyle w:val="Pieddepage"/>
      <w:ind w:left="-284" w:right="-339"/>
      <w:jc w:val="center"/>
    </w:pPr>
    <w:r>
      <w:rPr>
        <w:color w:val="646E78"/>
        <w:sz w:val="16"/>
        <w:lang w:eastAsia="fr-FR"/>
      </w:rPr>
      <w:t xml:space="preserve">CiiB - Conseil en Ingénierie et Introduction Boursière des PME-PMI | 8, rue Saint-Marc, 75002 Paris | </w:t>
    </w:r>
    <w:proofErr w:type="gramStart"/>
    <w:r>
      <w:rPr>
        <w:color w:val="646E78"/>
        <w:sz w:val="16"/>
        <w:lang w:eastAsia="fr-FR"/>
      </w:rPr>
      <w:t>ciib.fr</w:t>
    </w:r>
    <w:r w:rsidR="001B34E4">
      <w:rPr>
        <w:color w:val="646E78"/>
        <w:sz w:val="16"/>
        <w:lang w:eastAsia="fr-FR"/>
      </w:rPr>
      <w:t xml:space="preserve">  </w:t>
    </w:r>
    <w:r w:rsidR="001B34E4" w:rsidRPr="001B34E4">
      <w:rPr>
        <w:color w:val="646E78"/>
        <w:sz w:val="16"/>
        <w:lang w:eastAsia="fr-FR"/>
      </w:rPr>
      <w:t>S.A.</w:t>
    </w:r>
    <w:proofErr w:type="gramEnd"/>
    <w:r w:rsidR="001B34E4" w:rsidRPr="001B34E4">
      <w:rPr>
        <w:color w:val="646E78"/>
        <w:sz w:val="16"/>
        <w:lang w:eastAsia="fr-FR"/>
      </w:rPr>
      <w:t xml:space="preserve"> au capital de 266 875 € - </w:t>
    </w:r>
    <w:r w:rsidR="001B34E4">
      <w:rPr>
        <w:color w:val="646E78"/>
        <w:sz w:val="16"/>
        <w:lang w:eastAsia="fr-FR"/>
      </w:rPr>
      <w:t>RCS</w:t>
    </w:r>
    <w:r w:rsidR="001B34E4" w:rsidRPr="001B34E4">
      <w:rPr>
        <w:color w:val="646E78"/>
        <w:sz w:val="16"/>
        <w:lang w:eastAsia="fr-FR"/>
      </w:rPr>
      <w:t xml:space="preserve"> 338 689 227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406E" w14:textId="77777777" w:rsidR="00AF08C0" w:rsidRDefault="00AF08C0">
      <w:pPr>
        <w:spacing w:after="0" w:line="240" w:lineRule="auto"/>
      </w:pPr>
      <w:r>
        <w:separator/>
      </w:r>
    </w:p>
  </w:footnote>
  <w:footnote w:type="continuationSeparator" w:id="0">
    <w:p w14:paraId="01844596" w14:textId="77777777" w:rsidR="00AF08C0" w:rsidRDefault="00AF0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EEDC" w14:textId="77777777" w:rsidR="00C46145" w:rsidRDefault="00C461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09615845">
    <w:abstractNumId w:val="8"/>
  </w:num>
  <w:num w:numId="2" w16cid:durableId="820582731">
    <w:abstractNumId w:val="6"/>
  </w:num>
  <w:num w:numId="3" w16cid:durableId="611088260">
    <w:abstractNumId w:val="5"/>
  </w:num>
  <w:num w:numId="4" w16cid:durableId="604120518">
    <w:abstractNumId w:val="4"/>
  </w:num>
  <w:num w:numId="5" w16cid:durableId="1375617989">
    <w:abstractNumId w:val="7"/>
  </w:num>
  <w:num w:numId="6" w16cid:durableId="709107306">
    <w:abstractNumId w:val="3"/>
  </w:num>
  <w:num w:numId="7" w16cid:durableId="1460566489">
    <w:abstractNumId w:val="2"/>
  </w:num>
  <w:num w:numId="8" w16cid:durableId="1358653981">
    <w:abstractNumId w:val="1"/>
  </w:num>
  <w:num w:numId="9" w16cid:durableId="188682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34E4"/>
    <w:rsid w:val="001C3885"/>
    <w:rsid w:val="0029639D"/>
    <w:rsid w:val="00326F90"/>
    <w:rsid w:val="00AA1D8D"/>
    <w:rsid w:val="00AE7405"/>
    <w:rsid w:val="00AE7F0D"/>
    <w:rsid w:val="00AF08C0"/>
    <w:rsid w:val="00B47730"/>
    <w:rsid w:val="00BF6D60"/>
    <w:rsid w:val="00C24B34"/>
    <w:rsid w:val="00C46145"/>
    <w:rsid w:val="00CB0664"/>
    <w:rsid w:val="00DE71FE"/>
    <w:rsid w:val="00E24987"/>
    <w:rsid w:val="00EC3A71"/>
    <w:rsid w:val="00F3149A"/>
    <w:rsid w:val="00F54B0D"/>
    <w:rsid w:val="00F71E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5A119"/>
  <w14:defaultImageDpi w14:val="300"/>
  <w15:docId w15:val="{3E8999E5-29B2-4FAC-99E2-60E786EB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noProof/>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noProof w:val="0"/>
      <w:color w:val="2D3741"/>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9497D"/>
      <w:sz w:val="3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699A4"/>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9497D"/>
      <w:spacing w:val="5"/>
      <w:kern w:val="28"/>
      <w:sz w:val="5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556</Words>
  <Characters>3060</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Combien coûte une introduction sur Euronext Access ? - Simulation 2026</vt:lpstr>
      <vt:lpstr/>
    </vt:vector>
  </TitlesOfParts>
  <Manager/>
  <Company/>
  <LinksUpToDate>false</LinksUpToDate>
  <CharactersWithSpaces>3609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Combien coûte une introduction sur Euronext Access ? - Simulation 2026</dc:title>
  <dc:subject>Simulation indicative CiiB - Euronext Access</dc:subject>
  <dc:creator>CiiB</dc:creator>
  <cp:keywords/>
  <dc:description>generated by python-docx</dc:description>
  <cp:lastModifiedBy>Didier SALWA CIIB</cp:lastModifiedBy>
  <cp:revision>4</cp:revision>
  <dcterms:created xsi:type="dcterms:W3CDTF">2026-10-07T12:50:00Z</dcterms:created>
  <dcterms:modified xsi:type="dcterms:W3CDTF">2026-10-07T13:31:00Z</dcterms:modified>
  <cp:category/>
</cp:coreProperties>
</file>